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23096" w:rsidRDefault="00540178" w:rsidP="00540178">
      <w:pPr>
        <w:shd w:val="clear" w:color="auto" w:fill="FFFFFF"/>
        <w:ind w:left="96"/>
        <w:jc w:val="center"/>
        <w:rPr>
          <w:b/>
          <w:bCs/>
          <w:color w:val="000000"/>
          <w:sz w:val="40"/>
          <w:szCs w:val="40"/>
        </w:rPr>
      </w:pPr>
      <w:r w:rsidRPr="00623096">
        <w:rPr>
          <w:b/>
          <w:bCs/>
          <w:color w:val="000000"/>
          <w:sz w:val="40"/>
          <w:szCs w:val="40"/>
        </w:rPr>
        <w:t>АДМИНИСТРАЦИЯ</w:t>
      </w:r>
    </w:p>
    <w:p w:rsidR="00540178" w:rsidRPr="00623096" w:rsidRDefault="00C32745" w:rsidP="00540178">
      <w:pPr>
        <w:shd w:val="clear" w:color="auto" w:fill="FFFFFF"/>
        <w:ind w:left="278"/>
        <w:jc w:val="center"/>
        <w:rPr>
          <w:b/>
          <w:color w:val="000000"/>
          <w:sz w:val="40"/>
          <w:szCs w:val="40"/>
        </w:rPr>
      </w:pPr>
      <w:r>
        <w:rPr>
          <w:b/>
          <w:color w:val="000000"/>
          <w:spacing w:val="-20"/>
          <w:sz w:val="40"/>
          <w:szCs w:val="40"/>
        </w:rPr>
        <w:t>ЗАЩИТЕНСКОГО</w:t>
      </w:r>
      <w:r w:rsidR="00540178" w:rsidRPr="00623096">
        <w:rPr>
          <w:b/>
          <w:color w:val="000000"/>
          <w:spacing w:val="-20"/>
          <w:sz w:val="40"/>
          <w:szCs w:val="40"/>
        </w:rPr>
        <w:t xml:space="preserve">  СЕЛЬСОВЕТА</w:t>
      </w:r>
    </w:p>
    <w:p w:rsidR="00540178" w:rsidRPr="00623096" w:rsidRDefault="00540178" w:rsidP="00540178">
      <w:pPr>
        <w:shd w:val="clear" w:color="auto" w:fill="FFFFFF"/>
        <w:ind w:left="58"/>
        <w:jc w:val="center"/>
        <w:rPr>
          <w:b/>
          <w:bCs/>
          <w:color w:val="000000"/>
          <w:sz w:val="40"/>
          <w:szCs w:val="40"/>
        </w:rPr>
      </w:pPr>
      <w:r w:rsidRPr="00623096">
        <w:rPr>
          <w:b/>
          <w:bCs/>
          <w:color w:val="000000"/>
          <w:spacing w:val="-23"/>
          <w:sz w:val="40"/>
          <w:szCs w:val="40"/>
        </w:rPr>
        <w:t>ЩИГРОВСКОГО РАЙОНА КУРСКОЙ ОБЛАСТИ</w:t>
      </w:r>
    </w:p>
    <w:p w:rsidR="00540178" w:rsidRPr="00623096" w:rsidRDefault="00540178" w:rsidP="00540178">
      <w:pPr>
        <w:shd w:val="clear" w:color="auto" w:fill="FFFFFF"/>
        <w:ind w:left="48"/>
        <w:jc w:val="center"/>
        <w:rPr>
          <w:b/>
          <w:color w:val="000000"/>
          <w:sz w:val="32"/>
          <w:szCs w:val="32"/>
        </w:rPr>
      </w:pPr>
      <w:r w:rsidRPr="00623096">
        <w:rPr>
          <w:b/>
          <w:color w:val="000000"/>
          <w:spacing w:val="109"/>
          <w:sz w:val="40"/>
          <w:szCs w:val="40"/>
        </w:rPr>
        <w:t>ПОСТАНОВЛЕНИЕ</w:t>
      </w:r>
    </w:p>
    <w:p w:rsidR="00540178" w:rsidRPr="00623096" w:rsidRDefault="00540178" w:rsidP="00540178">
      <w:pPr>
        <w:jc w:val="center"/>
        <w:rPr>
          <w:b/>
          <w:color w:val="000000"/>
          <w:sz w:val="32"/>
          <w:szCs w:val="32"/>
        </w:rPr>
      </w:pPr>
    </w:p>
    <w:p w:rsidR="00540178" w:rsidRPr="00623096" w:rsidRDefault="00540178" w:rsidP="00540178">
      <w:pPr>
        <w:rPr>
          <w:b/>
          <w:color w:val="000000"/>
          <w:sz w:val="32"/>
          <w:szCs w:val="32"/>
        </w:rPr>
      </w:pPr>
      <w:r>
        <w:rPr>
          <w:b/>
          <w:color w:val="000000"/>
          <w:sz w:val="32"/>
          <w:szCs w:val="32"/>
        </w:rPr>
        <w:t>ПРОЕКТ</w:t>
      </w:r>
    </w:p>
    <w:p w:rsidR="00540178" w:rsidRPr="00623096" w:rsidRDefault="00540178" w:rsidP="00540178">
      <w:pPr>
        <w:jc w:val="center"/>
        <w:rPr>
          <w:b/>
          <w:sz w:val="28"/>
          <w:szCs w:val="28"/>
        </w:rPr>
      </w:pPr>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540178">
      <w:pPr>
        <w:jc w:val="center"/>
        <w:rPr>
          <w:b/>
          <w:sz w:val="28"/>
          <w:szCs w:val="28"/>
        </w:rPr>
      </w:pPr>
      <w:r w:rsidRPr="00623096">
        <w:rPr>
          <w:b/>
          <w:sz w:val="28"/>
          <w:szCs w:val="28"/>
        </w:rPr>
        <w:t xml:space="preserve">о внутреннем финансовом контроле </w:t>
      </w:r>
    </w:p>
    <w:p w:rsidR="00540178" w:rsidRPr="00623096" w:rsidRDefault="00540178" w:rsidP="00540178">
      <w:pPr>
        <w:jc w:val="center"/>
        <w:rPr>
          <w:b/>
          <w:sz w:val="28"/>
          <w:szCs w:val="28"/>
        </w:rPr>
      </w:pPr>
      <w:r w:rsidRPr="00623096">
        <w:rPr>
          <w:b/>
          <w:sz w:val="28"/>
          <w:szCs w:val="28"/>
        </w:rPr>
        <w:t xml:space="preserve">администрации </w:t>
      </w:r>
      <w:proofErr w:type="spellStart"/>
      <w:r w:rsidR="00C32745">
        <w:rPr>
          <w:b/>
          <w:sz w:val="28"/>
          <w:szCs w:val="28"/>
        </w:rPr>
        <w:t>Защитенского</w:t>
      </w:r>
      <w:proofErr w:type="spellEnd"/>
      <w:r w:rsidRPr="00623096">
        <w:rPr>
          <w:b/>
          <w:sz w:val="28"/>
          <w:szCs w:val="28"/>
        </w:rPr>
        <w:t xml:space="preserve"> сельсовета</w:t>
      </w:r>
    </w:p>
    <w:p w:rsidR="00540178" w:rsidRPr="00623096" w:rsidRDefault="00540178" w:rsidP="00540178">
      <w:pPr>
        <w:jc w:val="center"/>
        <w:rPr>
          <w:sz w:val="28"/>
          <w:szCs w:val="28"/>
        </w:rPr>
      </w:pPr>
      <w:proofErr w:type="spellStart"/>
      <w:r w:rsidRPr="00623096">
        <w:rPr>
          <w:b/>
          <w:sz w:val="28"/>
          <w:szCs w:val="28"/>
        </w:rPr>
        <w:t>Щигровского</w:t>
      </w:r>
      <w:proofErr w:type="spellEnd"/>
      <w:r w:rsidRPr="00623096">
        <w:rPr>
          <w:b/>
          <w:sz w:val="28"/>
          <w:szCs w:val="28"/>
        </w:rPr>
        <w:t xml:space="preserve"> района Курской области</w:t>
      </w:r>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sidR="00C32745">
        <w:rPr>
          <w:color w:val="000000"/>
        </w:rPr>
        <w:t>Защитенский</w:t>
      </w:r>
      <w:proofErr w:type="spellEnd"/>
      <w:r w:rsidRPr="00623096">
        <w:rPr>
          <w:color w:val="000000"/>
        </w:rPr>
        <w:t xml:space="preserve"> сельсовет» </w:t>
      </w:r>
      <w:proofErr w:type="spellStart"/>
      <w:r w:rsidRPr="00623096">
        <w:rPr>
          <w:color w:val="000000"/>
        </w:rPr>
        <w:t>Щигровского</w:t>
      </w:r>
      <w:proofErr w:type="spellEnd"/>
      <w:r w:rsidRPr="00623096">
        <w:rPr>
          <w:color w:val="000000"/>
        </w:rPr>
        <w:t xml:space="preserve"> района Курской области</w:t>
      </w:r>
      <w:proofErr w:type="gramStart"/>
      <w:r w:rsidRPr="00623096">
        <w:rPr>
          <w:color w:val="000000"/>
        </w:rPr>
        <w:t xml:space="preserve"> ,</w:t>
      </w:r>
      <w:proofErr w:type="gramEnd"/>
      <w:r w:rsidRPr="00623096">
        <w:rPr>
          <w:color w:val="000000"/>
        </w:rPr>
        <w:t xml:space="preserve"> Администрация </w:t>
      </w:r>
      <w:proofErr w:type="spellStart"/>
      <w:r w:rsidR="00C32745">
        <w:rPr>
          <w:color w:val="000000"/>
        </w:rPr>
        <w:t>Защитенского</w:t>
      </w:r>
      <w:proofErr w:type="spellEnd"/>
      <w:r w:rsidRPr="00623096">
        <w:rPr>
          <w:color w:val="000000"/>
        </w:rPr>
        <w:t xml:space="preserve"> сельсовета </w:t>
      </w:r>
      <w:proofErr w:type="spellStart"/>
      <w:r w:rsidRPr="00623096">
        <w:rPr>
          <w:color w:val="000000"/>
        </w:rPr>
        <w:t>Щигровского</w:t>
      </w:r>
      <w:proofErr w:type="spellEnd"/>
      <w:r w:rsidRPr="00623096">
        <w:rPr>
          <w:color w:val="000000"/>
        </w:rPr>
        <w:t xml:space="preserve">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40178" w:rsidP="00540178">
      <w:pPr>
        <w:jc w:val="both"/>
      </w:pPr>
      <w:r w:rsidRPr="00623096">
        <w:t xml:space="preserve">администрации </w:t>
      </w:r>
      <w:proofErr w:type="spellStart"/>
      <w:r w:rsidR="00C32745">
        <w:t>Защитенского</w:t>
      </w:r>
      <w:proofErr w:type="spellEnd"/>
      <w:r w:rsidRPr="00623096">
        <w:t xml:space="preserve"> сельсовета</w:t>
      </w:r>
      <w:r>
        <w:t xml:space="preserve"> </w:t>
      </w:r>
      <w:proofErr w:type="spellStart"/>
      <w:r w:rsidRPr="00623096">
        <w:t>Щигровского</w:t>
      </w:r>
      <w:proofErr w:type="spellEnd"/>
      <w:r w:rsidRPr="00623096">
        <w:t xml:space="preserve"> района Курской области</w:t>
      </w:r>
      <w:r>
        <w:t>.</w:t>
      </w:r>
    </w:p>
    <w:p w:rsidR="00540178" w:rsidRPr="00540178" w:rsidRDefault="00540178" w:rsidP="00540178">
      <w:pPr>
        <w:jc w:val="both"/>
        <w:outlineLvl w:val="1"/>
        <w:rPr>
          <w:color w:val="000000" w:themeColor="text1"/>
        </w:rPr>
      </w:pPr>
      <w:r>
        <w:t xml:space="preserve">       2. Постановление Администрации </w:t>
      </w:r>
      <w:proofErr w:type="spellStart"/>
      <w:r w:rsidR="00C32745">
        <w:t>Защитенского</w:t>
      </w:r>
      <w:proofErr w:type="spellEnd"/>
      <w:r w:rsidR="00C32745">
        <w:t xml:space="preserve"> сельсовета от 21.11.2017 года №251</w:t>
      </w:r>
      <w:bookmarkStart w:id="0" w:name="_GoBack"/>
      <w:bookmarkEnd w:id="0"/>
      <w:r>
        <w:t xml:space="preserve">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 xml:space="preserve">в муниципальном образовании </w:t>
      </w:r>
      <w:proofErr w:type="spellStart"/>
      <w:r w:rsidR="00C32745">
        <w:rPr>
          <w:color w:val="000000" w:themeColor="text1"/>
        </w:rPr>
        <w:t>Защитенский</w:t>
      </w:r>
      <w:proofErr w:type="spellEnd"/>
      <w:r w:rsidRPr="00540178">
        <w:rPr>
          <w:color w:val="000000" w:themeColor="text1"/>
        </w:rPr>
        <w:t xml:space="preserve"> сельсовет</w:t>
      </w:r>
    </w:p>
    <w:p w:rsidR="00540178" w:rsidRPr="00540178" w:rsidRDefault="00540178" w:rsidP="00540178">
      <w:pPr>
        <w:jc w:val="both"/>
      </w:pPr>
      <w:proofErr w:type="spellStart"/>
      <w:r w:rsidRPr="00540178">
        <w:rPr>
          <w:color w:val="000000" w:themeColor="text1"/>
        </w:rPr>
        <w:t>Щигровского</w:t>
      </w:r>
      <w:proofErr w:type="spellEnd"/>
      <w:r w:rsidRPr="00540178">
        <w:rPr>
          <w:color w:val="000000" w:themeColor="text1"/>
        </w:rPr>
        <w:t xml:space="preserve">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w:t>
      </w:r>
      <w:proofErr w:type="gramStart"/>
      <w:r w:rsidRPr="00623096">
        <w:rPr>
          <w:color w:val="000000"/>
        </w:rPr>
        <w:t>Контроль за</w:t>
      </w:r>
      <w:proofErr w:type="gramEnd"/>
      <w:r w:rsidRPr="00623096">
        <w:rPr>
          <w:color w:val="000000"/>
        </w:rPr>
        <w:t xml:space="preserve">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ние  вступает в силу с 01.01.2020,  за исключением абзаца 6 пункта 1.3. и абзаца 8 пункта 1.7., которые вступают в силу  с 01.07.2020 г.</w:t>
      </w:r>
      <w:proofErr w:type="gramStart"/>
      <w:r>
        <w:rPr>
          <w:color w:val="000000"/>
        </w:rPr>
        <w:t xml:space="preserve"> </w:t>
      </w:r>
      <w:r w:rsidRPr="00623096">
        <w:rPr>
          <w:color w:val="000000"/>
        </w:rPr>
        <w:t>.</w:t>
      </w:r>
      <w:proofErr w:type="gramEnd"/>
    </w:p>
    <w:p w:rsidR="00540178" w:rsidRPr="00623096" w:rsidRDefault="00540178" w:rsidP="00540178">
      <w:pPr>
        <w:outlineLvl w:val="1"/>
        <w:rPr>
          <w:color w:val="000000"/>
        </w:rPr>
      </w:pPr>
    </w:p>
    <w:p w:rsidR="00540178" w:rsidRPr="00623096" w:rsidRDefault="00540178" w:rsidP="00540178">
      <w:pPr>
        <w:jc w:val="both"/>
        <w:rPr>
          <w:color w:val="000000"/>
        </w:rPr>
      </w:pPr>
    </w:p>
    <w:p w:rsidR="00540178" w:rsidRPr="00623096" w:rsidRDefault="00540178" w:rsidP="00540178">
      <w:pPr>
        <w:suppressAutoHyphens/>
        <w:jc w:val="both"/>
        <w:rPr>
          <w:color w:val="000000"/>
          <w:lang w:eastAsia="ar-SA"/>
        </w:rPr>
      </w:pPr>
      <w:r w:rsidRPr="00623096">
        <w:rPr>
          <w:color w:val="000000"/>
          <w:lang w:eastAsia="ar-SA"/>
        </w:rPr>
        <w:t xml:space="preserve">Глава </w:t>
      </w:r>
      <w:proofErr w:type="spellStart"/>
      <w:r w:rsidR="00C32745">
        <w:rPr>
          <w:color w:val="000000"/>
          <w:lang w:eastAsia="ar-SA"/>
        </w:rPr>
        <w:t>Защитенского</w:t>
      </w:r>
      <w:proofErr w:type="spellEnd"/>
      <w:r w:rsidRPr="00623096">
        <w:rPr>
          <w:color w:val="000000"/>
          <w:lang w:eastAsia="ar-SA"/>
        </w:rPr>
        <w:t xml:space="preserve"> сельсовета             </w:t>
      </w:r>
      <w:r w:rsidR="00C32745">
        <w:rPr>
          <w:color w:val="000000"/>
          <w:lang w:eastAsia="ar-SA"/>
        </w:rPr>
        <w:t xml:space="preserve">                                              </w:t>
      </w:r>
      <w:proofErr w:type="spellStart"/>
      <w:r w:rsidR="00C32745">
        <w:rPr>
          <w:color w:val="000000"/>
          <w:lang w:eastAsia="ar-SA"/>
        </w:rPr>
        <w:t>В.И.Аралкин</w:t>
      </w:r>
      <w:proofErr w:type="spellEnd"/>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CF2A12" w:rsidRDefault="00540178" w:rsidP="00540178">
      <w:pPr>
        <w:spacing w:line="100" w:lineRule="atLeast"/>
        <w:ind w:left="5085" w:firstLine="15"/>
        <w:jc w:val="right"/>
      </w:pPr>
      <w:r w:rsidRPr="00CF2A12">
        <w:t xml:space="preserve"> Приложение</w:t>
      </w:r>
    </w:p>
    <w:p w:rsidR="00540178" w:rsidRPr="00CF2A12" w:rsidRDefault="00540178" w:rsidP="00540178">
      <w:pPr>
        <w:spacing w:line="100" w:lineRule="atLeast"/>
        <w:ind w:left="5085" w:firstLine="15"/>
        <w:jc w:val="right"/>
      </w:pPr>
      <w:r w:rsidRPr="00CF2A12">
        <w:t xml:space="preserve">  к </w:t>
      </w:r>
      <w:r w:rsidRPr="00CF2A12">
        <w:rPr>
          <w:color w:val="FF0000"/>
        </w:rPr>
        <w:t xml:space="preserve">Постановлению </w:t>
      </w:r>
      <w:r w:rsidRPr="00CF2A12">
        <w:t>администрации</w:t>
      </w:r>
    </w:p>
    <w:p w:rsidR="00540178" w:rsidRPr="00CF2A12" w:rsidRDefault="00540178" w:rsidP="00540178">
      <w:pPr>
        <w:spacing w:line="100" w:lineRule="atLeast"/>
        <w:ind w:left="5085" w:firstLine="15"/>
        <w:jc w:val="right"/>
      </w:pPr>
      <w:r w:rsidRPr="00CF2A12">
        <w:t xml:space="preserve"> </w:t>
      </w:r>
      <w:proofErr w:type="spellStart"/>
      <w:r w:rsidR="00C32745">
        <w:t>Защитенского</w:t>
      </w:r>
      <w:proofErr w:type="spellEnd"/>
      <w:r w:rsidRPr="00CF2A12">
        <w:t xml:space="preserve"> сельсовета </w:t>
      </w:r>
      <w:proofErr w:type="spellStart"/>
      <w:r w:rsidRPr="00CF2A12">
        <w:t>Щигровского</w:t>
      </w:r>
      <w:proofErr w:type="spellEnd"/>
      <w:r w:rsidRPr="00CF2A12">
        <w:t xml:space="preserve"> района Курской области </w:t>
      </w:r>
    </w:p>
    <w:p w:rsidR="00540178" w:rsidRPr="00CF2A12" w:rsidRDefault="00540178" w:rsidP="00540178">
      <w:pPr>
        <w:spacing w:line="100" w:lineRule="atLeast"/>
        <w:ind w:left="5085" w:firstLine="15"/>
        <w:jc w:val="right"/>
        <w:rPr>
          <w:color w:val="FF0000"/>
        </w:rPr>
      </w:pPr>
      <w:r w:rsidRPr="00CF2A12">
        <w:t>от «____»__________ №</w:t>
      </w:r>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40178" w:rsidP="00540178">
      <w:pPr>
        <w:jc w:val="center"/>
        <w:rPr>
          <w:b/>
        </w:rPr>
      </w:pPr>
      <w:r w:rsidRPr="00CF2A12">
        <w:rPr>
          <w:b/>
        </w:rPr>
        <w:t xml:space="preserve">администрации </w:t>
      </w:r>
      <w:proofErr w:type="spellStart"/>
      <w:r w:rsidR="00C32745">
        <w:rPr>
          <w:b/>
        </w:rPr>
        <w:t>Защитенского</w:t>
      </w:r>
      <w:proofErr w:type="spellEnd"/>
      <w:r w:rsidRPr="00CF2A12">
        <w:rPr>
          <w:b/>
        </w:rPr>
        <w:t xml:space="preserve"> сельсовета</w:t>
      </w:r>
    </w:p>
    <w:p w:rsidR="00540178" w:rsidRPr="00CF2A12" w:rsidRDefault="00540178" w:rsidP="00540178">
      <w:pPr>
        <w:jc w:val="center"/>
      </w:pPr>
      <w:proofErr w:type="spellStart"/>
      <w:r w:rsidRPr="00CF2A12">
        <w:rPr>
          <w:b/>
        </w:rPr>
        <w:t>Щигровского</w:t>
      </w:r>
      <w:proofErr w:type="spellEnd"/>
      <w:r w:rsidRPr="00CF2A12">
        <w:rPr>
          <w:b/>
        </w:rPr>
        <w:t xml:space="preserve">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финансовом контроле  </w:t>
      </w:r>
      <w:proofErr w:type="spellStart"/>
      <w:r w:rsidR="00C32745">
        <w:t>Защитенского</w:t>
      </w:r>
      <w:proofErr w:type="spellEnd"/>
      <w:r w:rsidRPr="00CF2A12">
        <w:t xml:space="preserve"> сельсовета </w:t>
      </w:r>
      <w:proofErr w:type="spellStart"/>
      <w:r w:rsidRPr="00CF2A12">
        <w:t>Щигровского</w:t>
      </w:r>
      <w:proofErr w:type="spellEnd"/>
      <w:r w:rsidRPr="00CF2A12">
        <w:t xml:space="preserve">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proofErr w:type="gramStart"/>
      <w:r w:rsidRPr="00443776">
        <w:t>контроль за</w:t>
      </w:r>
      <w:proofErr w:type="gramEnd"/>
      <w:r w:rsidRPr="00443776">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proofErr w:type="gramStart"/>
      <w:r w:rsidRPr="00443776">
        <w:t>контроль за</w:t>
      </w:r>
      <w:proofErr w:type="gramEnd"/>
      <w:r w:rsidRPr="00443776">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w:t>
      </w:r>
      <w:r>
        <w:t xml:space="preserve">ветствующего бюджета, </w:t>
      </w:r>
      <w:proofErr w:type="spellStart"/>
      <w:r>
        <w:t>муниципальны</w:t>
      </w:r>
      <w:proofErr w:type="spellEnd"/>
      <w:r>
        <w:t>)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proofErr w:type="gramStart"/>
      <w:r w:rsidRPr="00C5247E">
        <w:lastRenderedPageBreak/>
        <w:t>контроль за</w:t>
      </w:r>
      <w:proofErr w:type="gramEnd"/>
      <w:r w:rsidRPr="00C5247E">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w:t>
      </w:r>
      <w:proofErr w:type="gramStart"/>
      <w:r w:rsidRPr="00C5247E">
        <w:t>значений показателей результативности предоставления средств</w:t>
      </w:r>
      <w:proofErr w:type="gramEnd"/>
      <w:r w:rsidRPr="00C5247E">
        <w:t xml:space="preserve"> из бюджета.</w:t>
      </w:r>
    </w:p>
    <w:p w:rsidR="00540178" w:rsidRPr="00C97D1A" w:rsidRDefault="00540178" w:rsidP="00540178">
      <w:pPr>
        <w:ind w:firstLine="540"/>
        <w:rPr>
          <w:color w:val="FF0000"/>
        </w:rPr>
      </w:pPr>
      <w:r w:rsidRPr="00C97D1A">
        <w:rPr>
          <w:color w:val="FF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proofErr w:type="gramStart"/>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roofErr w:type="gramEnd"/>
    </w:p>
    <w:p w:rsidR="00540178" w:rsidRPr="00CF2A12" w:rsidRDefault="00540178" w:rsidP="00540178">
      <w:pPr>
        <w:ind w:firstLine="709"/>
        <w:jc w:val="both"/>
      </w:pPr>
      <w:proofErr w:type="gramStart"/>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w:t>
      </w:r>
      <w:proofErr w:type="gramEnd"/>
      <w:r w:rsidRPr="00CF2A12">
        <w:t xml:space="preserve"> </w:t>
      </w:r>
      <w:proofErr w:type="gramStart"/>
      <w:r w:rsidRPr="00CF2A12">
        <w:t>целях</w:t>
      </w:r>
      <w:proofErr w:type="gramEnd"/>
      <w:r w:rsidRPr="00CF2A12">
        <w:t>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w:t>
      </w:r>
      <w:r w:rsidRPr="00CF2A12">
        <w:lastRenderedPageBreak/>
        <w:t>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proofErr w:type="gramStart"/>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roofErr w:type="gramEnd"/>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CF2A12" w:rsidRDefault="00540178" w:rsidP="00540178">
      <w:pPr>
        <w:ind w:firstLine="709"/>
        <w:jc w:val="both"/>
      </w:pPr>
      <w:r w:rsidRPr="00C97D1A">
        <w:rPr>
          <w:color w:val="FF000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97D1A">
        <w:rPr>
          <w:color w:val="FF0000"/>
        </w:rPr>
        <w:t>недействительными</w:t>
      </w:r>
      <w:proofErr w:type="gramEnd"/>
      <w:r w:rsidRPr="00C97D1A">
        <w:rPr>
          <w:color w:val="FF0000"/>
        </w:rPr>
        <w:t xml:space="preserve"> в соответствии с Гражданским </w:t>
      </w:r>
      <w:hyperlink r:id="rId9" w:anchor="dst0" w:history="1">
        <w:r w:rsidRPr="00C97D1A">
          <w:rPr>
            <w:color w:val="FF0000"/>
            <w:u w:val="single"/>
          </w:rPr>
          <w:t>кодексом</w:t>
        </w:r>
      </w:hyperlink>
      <w:r w:rsidRPr="00C97D1A">
        <w:rPr>
          <w:color w:val="FF0000"/>
        </w:rPr>
        <w:t xml:space="preserve"> Российской Федерации</w:t>
      </w:r>
      <w:r w:rsidRPr="00443776">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proofErr w:type="gramStart"/>
      <w:r w:rsidRPr="00DF77D4">
        <w:rPr>
          <w:color w:val="000000"/>
        </w:rPr>
        <w:t>.</w:t>
      </w:r>
      <w:proofErr w:type="gramEnd"/>
      <w:r w:rsidRPr="00DF77D4">
        <w:rPr>
          <w:color w:val="000000"/>
        </w:rPr>
        <w:t xml:space="preserve"> (</w:t>
      </w:r>
      <w:proofErr w:type="gramStart"/>
      <w:r w:rsidRPr="00DF77D4">
        <w:rPr>
          <w:color w:val="000000"/>
        </w:rPr>
        <w:t>п</w:t>
      </w:r>
      <w:proofErr w:type="gramEnd"/>
      <w:r w:rsidRPr="00DF77D4">
        <w:rPr>
          <w:color w:val="000000"/>
        </w:rPr>
        <w:t>риложение №1).</w:t>
      </w:r>
    </w:p>
    <w:p w:rsidR="00540178" w:rsidRPr="00DF77D4" w:rsidRDefault="00540178" w:rsidP="00540178">
      <w:pPr>
        <w:autoSpaceDE w:val="0"/>
        <w:autoSpaceDN w:val="0"/>
        <w:adjustRightInd w:val="0"/>
        <w:ind w:firstLine="720"/>
        <w:jc w:val="both"/>
        <w:rPr>
          <w:color w:val="000000"/>
        </w:rPr>
      </w:pPr>
      <w:proofErr w:type="gramStart"/>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roofErr w:type="gramEnd"/>
    </w:p>
    <w:p w:rsidR="00540178" w:rsidRPr="00DF77D4" w:rsidRDefault="00540178" w:rsidP="00540178">
      <w:pPr>
        <w:autoSpaceDE w:val="0"/>
        <w:autoSpaceDN w:val="0"/>
        <w:adjustRightInd w:val="0"/>
        <w:ind w:firstLine="720"/>
        <w:jc w:val="both"/>
        <w:rPr>
          <w:color w:val="000000"/>
        </w:rPr>
      </w:pPr>
      <w:r w:rsidRPr="00DF77D4">
        <w:rPr>
          <w:color w:val="000000"/>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lastRenderedPageBreak/>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proofErr w:type="gramStart"/>
      <w:r w:rsidRPr="00CF2A12">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roofErr w:type="gramEnd"/>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proofErr w:type="gramStart"/>
      <w:r w:rsidRPr="00CF2A12">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proofErr w:type="gramStart"/>
      <w:r w:rsidRPr="00CF2A12">
        <w:t xml:space="preserve">-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w:t>
      </w:r>
      <w:r w:rsidRPr="00CF2A12">
        <w:lastRenderedPageBreak/>
        <w:t>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t>2.5</w:t>
      </w:r>
      <w:r w:rsidRPr="00CF2A12">
        <w:t xml:space="preserve">. В зависимости от методики проведения и технической оснащенности контрольные действия подразделяются </w:t>
      </w:r>
      <w:proofErr w:type="gramStart"/>
      <w:r w:rsidRPr="00CF2A12">
        <w:t>на</w:t>
      </w:r>
      <w:proofErr w:type="gramEnd"/>
      <w:r w:rsidRPr="00CF2A12">
        <w:t>:</w:t>
      </w:r>
    </w:p>
    <w:p w:rsidR="00540178" w:rsidRPr="00CF2A12" w:rsidRDefault="00540178" w:rsidP="00540178">
      <w:pPr>
        <w:ind w:firstLine="720"/>
        <w:jc w:val="both"/>
      </w:pPr>
      <w:r w:rsidRPr="00CF2A12">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lastRenderedPageBreak/>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proofErr w:type="gramStart"/>
      <w:r w:rsidRPr="00CF2A12">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proofErr w:type="spellStart"/>
      <w:r w:rsidR="00C32745">
        <w:t>Защитенского</w:t>
      </w:r>
      <w:proofErr w:type="spellEnd"/>
      <w:r w:rsidRPr="00CF2A12">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proofErr w:type="gramEnd"/>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proofErr w:type="gramStart"/>
      <w:r w:rsidRPr="00CF2A12">
        <w:rPr>
          <w:color w:val="000000"/>
        </w:rPr>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roofErr w:type="gramEnd"/>
    </w:p>
    <w:p w:rsidR="00540178" w:rsidRPr="00CF2A12" w:rsidRDefault="00540178" w:rsidP="00540178">
      <w:pPr>
        <w:tabs>
          <w:tab w:val="left" w:pos="8880"/>
        </w:tabs>
        <w:ind w:right="38" w:firstLine="720"/>
        <w:jc w:val="both"/>
      </w:pPr>
      <w:r>
        <w:lastRenderedPageBreak/>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proofErr w:type="gramStart"/>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w:t>
      </w:r>
      <w:proofErr w:type="gramStart"/>
      <w:r>
        <w:t xml:space="preserve">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w:t>
      </w:r>
      <w:proofErr w:type="spellStart"/>
      <w:r w:rsidRPr="00F20419">
        <w:t>неустранения</w:t>
      </w:r>
      <w:proofErr w:type="spellEnd"/>
      <w:r w:rsidRPr="00F20419">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F20419">
        <w:t xml:space="preserve"> Предписание содержит обязательные </w:t>
      </w:r>
      <w:proofErr w:type="gramStart"/>
      <w:r w:rsidRPr="00F20419">
        <w:t>для исполнения в установленный в предписании срок требования о принятии мер по возмещению</w:t>
      </w:r>
      <w:proofErr w:type="gramEnd"/>
      <w:r w:rsidRPr="00F20419">
        <w:t xml:space="preserve">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 xml:space="preserve">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w:t>
      </w:r>
      <w:proofErr w:type="gramStart"/>
      <w:r w:rsidRPr="00CF2A12">
        <w:t>на</w:t>
      </w:r>
      <w:proofErr w:type="gramEnd"/>
      <w:r w:rsidRPr="00CF2A12">
        <w:t>:</w:t>
      </w:r>
    </w:p>
    <w:p w:rsidR="00540178" w:rsidRPr="00CF2A12" w:rsidRDefault="00540178" w:rsidP="00540178">
      <w:pPr>
        <w:tabs>
          <w:tab w:val="left" w:pos="8880"/>
        </w:tabs>
        <w:autoSpaceDE w:val="0"/>
        <w:autoSpaceDN w:val="0"/>
        <w:adjustRightInd w:val="0"/>
        <w:ind w:right="38" w:firstLine="720"/>
        <w:jc w:val="both"/>
      </w:pPr>
      <w:r w:rsidRPr="00CF2A12">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lastRenderedPageBreak/>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w:t>
      </w:r>
      <w:proofErr w:type="gramStart"/>
      <w:r w:rsidRPr="00F20419">
        <w:t>контроля</w:t>
      </w:r>
      <w:proofErr w:type="gramEnd"/>
      <w:r w:rsidRPr="00F20419">
        <w:t xml:space="preserve">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w:t>
      </w:r>
      <w:proofErr w:type="gramStart"/>
      <w:r w:rsidRPr="00F20419">
        <w:t xml:space="preserve"> ,</w:t>
      </w:r>
      <w:proofErr w:type="gramEnd"/>
      <w:r w:rsidRPr="00F20419">
        <w:t xml:space="preserve">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10"/>
          <w:footerReference w:type="default" r:id="rId11"/>
          <w:pgSz w:w="11906" w:h="16838"/>
          <w:pgMar w:top="1134" w:right="567" w:bottom="1134" w:left="1701" w:header="397" w:footer="567" w:gutter="0"/>
          <w:cols w:space="720"/>
          <w:docGrid w:linePitch="360"/>
        </w:sectPr>
      </w:pPr>
      <w:r>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возлагается на Администрацию </w:t>
      </w:r>
      <w:proofErr w:type="spellStart"/>
      <w:r w:rsidR="00C32745">
        <w:t>Защитенского</w:t>
      </w:r>
      <w:proofErr w:type="spellEnd"/>
      <w:r>
        <w:t xml:space="preserve">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proofErr w:type="spellStart"/>
      <w:r w:rsidR="00C32745">
        <w:t>Защитенского</w:t>
      </w:r>
      <w:proofErr w:type="spellEnd"/>
      <w:r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w:t>
      </w:r>
      <w:proofErr w:type="gramStart"/>
      <w:r w:rsidRPr="00CF2A12">
        <w:t>дств                            _____________________________________                                           Гл</w:t>
      </w:r>
      <w:proofErr w:type="gramEnd"/>
      <w:r w:rsidRPr="00CF2A12">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w:t>
      </w:r>
      <w:proofErr w:type="gramStart"/>
      <w:r w:rsidRPr="00CF2A12">
        <w:t>структурного</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w:t>
      </w:r>
      <w:proofErr w:type="gramStart"/>
      <w:r w:rsidRPr="00CF2A12">
        <w:t>за</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w:t>
      </w:r>
      <w:proofErr w:type="gramStart"/>
      <w:r w:rsidRPr="00CF2A12">
        <w:t>внутренних</w:t>
      </w:r>
      <w:proofErr w:type="gramEnd"/>
      <w:r w:rsidRPr="00CF2A12">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proofErr w:type="spellStart"/>
            <w:r w:rsidRPr="00CF2A12">
              <w:t>Переодичность</w:t>
            </w:r>
            <w:proofErr w:type="spellEnd"/>
            <w:r w:rsidRPr="00CF2A12">
              <w:t xml:space="preserve">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proofErr w:type="spellStart"/>
      <w:r w:rsidR="00C32745">
        <w:t>Защитенского</w:t>
      </w:r>
      <w:proofErr w:type="spellEnd"/>
      <w:r w:rsidRPr="00CF2A12">
        <w:t xml:space="preserve"> сельсовета, утвержденного </w:t>
      </w:r>
      <w:r>
        <w:t>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F2A12">
        <w:rPr>
          <w:b/>
          <w:bCs/>
          <w:color w:val="22272F"/>
        </w:rPr>
        <w:t xml:space="preserve">                                                                                                                   </w:t>
      </w:r>
      <w:r w:rsidRPr="00CF2A12">
        <w:rPr>
          <w:b/>
          <w:bCs/>
          <w:color w:val="FF0000"/>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w:t>
      </w:r>
      <w:proofErr w:type="gramStart"/>
      <w:r w:rsidRPr="00CF2A12">
        <w:rPr>
          <w:color w:val="22272F"/>
        </w:rPr>
        <w:t>дств                            _____________________________________                                                                Гл</w:t>
      </w:r>
      <w:proofErr w:type="gramEnd"/>
      <w:r w:rsidRPr="00CF2A12">
        <w:rPr>
          <w:color w:val="22272F"/>
        </w:rPr>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w:t>
      </w:r>
      <w:proofErr w:type="gramStart"/>
      <w:r w:rsidRPr="00CF2A12">
        <w:rPr>
          <w:color w:val="22272F"/>
        </w:rPr>
        <w:t>структурного</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w:t>
      </w:r>
      <w:proofErr w:type="gramStart"/>
      <w:r w:rsidRPr="00CF2A12">
        <w:rPr>
          <w:color w:val="22272F"/>
        </w:rPr>
        <w:t>за</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w:t>
      </w:r>
      <w:proofErr w:type="gramStart"/>
      <w:r w:rsidRPr="00CF2A12">
        <w:rPr>
          <w:color w:val="22272F"/>
        </w:rPr>
        <w:t>внутренних</w:t>
      </w:r>
      <w:proofErr w:type="gramEnd"/>
      <w:r w:rsidRPr="00CF2A12">
        <w:rPr>
          <w:color w:val="22272F"/>
        </w:rPr>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w:t>
            </w:r>
            <w:proofErr w:type="gramStart"/>
            <w:r w:rsidRPr="00CF2A12">
              <w:t>,п</w:t>
            </w:r>
            <w:proofErr w:type="gramEnd"/>
            <w:r w:rsidRPr="00CF2A12">
              <w:t>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proofErr w:type="spellStart"/>
      <w:r w:rsidR="00C32745">
        <w:t>Защитенского</w:t>
      </w:r>
      <w:proofErr w:type="spellEnd"/>
      <w:r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2745">
      <w:r>
        <w:separator/>
      </w:r>
    </w:p>
  </w:endnote>
  <w:endnote w:type="continuationSeparator" w:id="0">
    <w:p w:rsidR="00000000" w:rsidRDefault="00C3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C327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C32745">
      <w:rPr>
        <w:rStyle w:val="a3"/>
        <w:noProof/>
      </w:rPr>
      <w:t>1</w:t>
    </w:r>
    <w:r>
      <w:fldChar w:fldCharType="end"/>
    </w:r>
  </w:p>
  <w:p w:rsidR="00B27905" w:rsidRDefault="00C327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2745">
      <w:r>
        <w:separator/>
      </w:r>
    </w:p>
  </w:footnote>
  <w:footnote w:type="continuationSeparator" w:id="0">
    <w:p w:rsidR="00000000" w:rsidRDefault="00C32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371FC1"/>
    <w:rsid w:val="00540178"/>
    <w:rsid w:val="00C3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2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5277</Words>
  <Characters>30081</Characters>
  <Application>Microsoft Office Word</Application>
  <DocSecurity>0</DocSecurity>
  <Lines>250</Lines>
  <Paragraphs>70</Paragraphs>
  <ScaleCrop>false</ScaleCrop>
  <Company>Reanimator Extreme Edition</Company>
  <LinksUpToDate>false</LinksUpToDate>
  <CharactersWithSpaces>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2019-11-05T11:32:00Z</dcterms:created>
  <dcterms:modified xsi:type="dcterms:W3CDTF">2019-11-06T06:01:00Z</dcterms:modified>
</cp:coreProperties>
</file>